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DEA" w:rsidRDefault="00EF2DE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F2DEA" w:rsidRDefault="00EF2DEA">
      <w:pPr>
        <w:pStyle w:val="ConsPlusNormal"/>
        <w:jc w:val="both"/>
        <w:outlineLvl w:val="0"/>
      </w:pPr>
    </w:p>
    <w:p w:rsidR="00EF2DEA" w:rsidRDefault="00EF2DE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F2DEA" w:rsidRDefault="00EF2DEA">
      <w:pPr>
        <w:pStyle w:val="ConsPlusTitle"/>
        <w:jc w:val="center"/>
      </w:pPr>
    </w:p>
    <w:p w:rsidR="00EF2DEA" w:rsidRDefault="00EF2DEA">
      <w:pPr>
        <w:pStyle w:val="ConsPlusTitle"/>
        <w:jc w:val="center"/>
      </w:pPr>
      <w:r>
        <w:t>ПОСТАНОВЛЕНИЕ</w:t>
      </w:r>
    </w:p>
    <w:p w:rsidR="00EF2DEA" w:rsidRDefault="00EF2DEA">
      <w:pPr>
        <w:pStyle w:val="ConsPlusTitle"/>
        <w:jc w:val="center"/>
      </w:pPr>
      <w:r>
        <w:t>от 19 сентября 2020 г. N 1503</w:t>
      </w:r>
    </w:p>
    <w:p w:rsidR="00EF2DEA" w:rsidRDefault="00EF2DEA">
      <w:pPr>
        <w:pStyle w:val="ConsPlusTitle"/>
        <w:jc w:val="center"/>
      </w:pPr>
    </w:p>
    <w:p w:rsidR="00EF2DEA" w:rsidRDefault="00EF2DEA">
      <w:pPr>
        <w:pStyle w:val="ConsPlusTitle"/>
        <w:jc w:val="center"/>
      </w:pPr>
      <w:r>
        <w:t>ОБ УТВЕРЖДЕНИИ ТРЕБОВАНИЙ</w:t>
      </w:r>
    </w:p>
    <w:p w:rsidR="00EF2DEA" w:rsidRDefault="00EF2DEA">
      <w:pPr>
        <w:pStyle w:val="ConsPlusTitle"/>
        <w:jc w:val="center"/>
      </w:pPr>
      <w:r>
        <w:t>К ТЕХНИЧЕСКОМУ СОСТОЯНИЮ И ЭКСПЛУАТАЦИИ САМОХОДНЫХ МАШИН</w:t>
      </w:r>
    </w:p>
    <w:p w:rsidR="00EF2DEA" w:rsidRDefault="00EF2DEA">
      <w:pPr>
        <w:pStyle w:val="ConsPlusTitle"/>
        <w:jc w:val="center"/>
      </w:pPr>
      <w:r>
        <w:t>И ДРУГИХ ВИДОВ ТЕХНИКИ</w:t>
      </w:r>
    </w:p>
    <w:p w:rsidR="00EF2DEA" w:rsidRDefault="00EF2DEA">
      <w:pPr>
        <w:pStyle w:val="ConsPlusNormal"/>
        <w:ind w:firstLine="540"/>
        <w:jc w:val="both"/>
      </w:pPr>
    </w:p>
    <w:p w:rsidR="00EF2DEA" w:rsidRDefault="00EF2DEA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57 пункта 2 статьи 26.3</w:t>
        </w:r>
      </w:hyperlink>
      <w:r>
        <w:t xml:space="preserve">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Правительство Российской Федерации постановляет: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требования</w:t>
        </w:r>
      </w:hyperlink>
      <w:r>
        <w:t xml:space="preserve"> к техническому состоянию и эксплуатации самоходных машин и других видов техники.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2. </w:t>
      </w:r>
      <w:hyperlink r:id="rId7" w:history="1">
        <w:proofErr w:type="gramStart"/>
        <w:r>
          <w:rPr>
            <w:color w:val="0000FF"/>
          </w:rPr>
          <w:t>Пункт 2</w:t>
        </w:r>
      </w:hyperlink>
      <w:r>
        <w:t xml:space="preserve"> Правил допуска к управлению самоходными машинами и выдачи удостоверений тракториста-машиниста (тракториста), утвержденных постановлением Правительства Российской Федерации от 12 июля 1999 г. N 796 "Об утверждении Правил допуска к управлению самоходными машинами и выдачи удостоверений тракториста-машиниста (тракториста)" (Собрание законодательства Российской Федерации, 1999, N 29, ст. 3759; 2011, N 20, ст. 2828), изложить в следующей редакции:</w:t>
      </w:r>
      <w:proofErr w:type="gramEnd"/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"2. </w:t>
      </w:r>
      <w:proofErr w:type="gramStart"/>
      <w:r>
        <w:t>Под самоходными машинами в настоящих Правилах понимаются тракторы, самоходные дорожно-строительные машины, коммунальные, сельскохозяйственные машины, внедорожные автомототранспортные средства и другие наземные безрельсовые механические транспортные средства, имеющие двигатель внутреннего сгорания объемом свыше 50 куб. сантиметров или электродвигатель максимальной мощностью более 4 киловатт (за исключением наземных самоходных устройств категории "L", "M", "N" на колесном ходу с мощностью двигателя (двигателей) более 4 киловатт или</w:t>
      </w:r>
      <w:proofErr w:type="gramEnd"/>
      <w:r>
        <w:t xml:space="preserve"> </w:t>
      </w:r>
      <w:proofErr w:type="gramStart"/>
      <w:r>
        <w:t>с максимальной конструктивной скоростью более 50 километров в час, предназначенных для перевозки людей, грузов или оборудования, установленного на них, а также прицепов (полуприцепов) к ним и транспортных средств, самоходных машин, военной, специальной и других видов техники Вооруженных Сил Российской Федерации, других войск, воинских формирований и органов, опытных (испытательных) образцов вооружения, военной и специальной техники, в том числе относящихся в соответствии</w:t>
      </w:r>
      <w:proofErr w:type="gramEnd"/>
      <w:r>
        <w:t xml:space="preserve"> с законодательством Российской Федерации о военно-техническом сотрудничестве с иностранными государствами к продукции военного назначения), на которые оформляются паспорта самоходной машины и других видов техники (электронные паспорта самоходной машины и других видов техники)</w:t>
      </w:r>
      <w:proofErr w:type="gramStart"/>
      <w:r>
        <w:t>."</w:t>
      </w:r>
      <w:proofErr w:type="gramEnd"/>
      <w:r>
        <w:t>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3. Настоящее постановление вступает в силу по истечении 12 месяцев со дня его официального опубликования и действует до 1 сентября 2027 г.</w:t>
      </w:r>
    </w:p>
    <w:p w:rsidR="00EF2DEA" w:rsidRDefault="00EF2DEA">
      <w:pPr>
        <w:pStyle w:val="ConsPlusNormal"/>
        <w:ind w:firstLine="540"/>
        <w:jc w:val="both"/>
      </w:pPr>
    </w:p>
    <w:p w:rsidR="00EF2DEA" w:rsidRDefault="00EF2DEA">
      <w:pPr>
        <w:pStyle w:val="ConsPlusNormal"/>
        <w:jc w:val="right"/>
      </w:pPr>
      <w:r>
        <w:t>Председатель Правительства</w:t>
      </w:r>
    </w:p>
    <w:p w:rsidR="00EF2DEA" w:rsidRDefault="00EF2DEA">
      <w:pPr>
        <w:pStyle w:val="ConsPlusNormal"/>
        <w:jc w:val="right"/>
      </w:pPr>
      <w:r>
        <w:t>Российской Федерации</w:t>
      </w:r>
    </w:p>
    <w:p w:rsidR="00EF2DEA" w:rsidRDefault="00EF2DEA">
      <w:pPr>
        <w:pStyle w:val="ConsPlusNormal"/>
        <w:jc w:val="right"/>
      </w:pPr>
      <w:r>
        <w:t>М.МИШУСТИН</w:t>
      </w:r>
    </w:p>
    <w:p w:rsidR="00EF2DEA" w:rsidRDefault="00EF2DEA">
      <w:pPr>
        <w:pStyle w:val="ConsPlusNormal"/>
        <w:ind w:firstLine="540"/>
        <w:jc w:val="both"/>
      </w:pPr>
    </w:p>
    <w:p w:rsidR="00EF2DEA" w:rsidRDefault="00EF2DEA">
      <w:pPr>
        <w:pStyle w:val="ConsPlusNormal"/>
        <w:ind w:firstLine="540"/>
        <w:jc w:val="both"/>
      </w:pPr>
    </w:p>
    <w:p w:rsidR="00EF2DEA" w:rsidRDefault="00EF2DEA">
      <w:pPr>
        <w:pStyle w:val="ConsPlusNormal"/>
        <w:ind w:firstLine="540"/>
        <w:jc w:val="both"/>
      </w:pPr>
    </w:p>
    <w:p w:rsidR="00EF2DEA" w:rsidRDefault="00EF2DEA">
      <w:pPr>
        <w:pStyle w:val="ConsPlusNormal"/>
        <w:ind w:firstLine="540"/>
        <w:jc w:val="both"/>
      </w:pPr>
    </w:p>
    <w:p w:rsidR="00EF2DEA" w:rsidRDefault="00EF2DEA">
      <w:pPr>
        <w:pStyle w:val="ConsPlusNormal"/>
        <w:ind w:firstLine="540"/>
        <w:jc w:val="both"/>
      </w:pPr>
    </w:p>
    <w:p w:rsidR="00EF2DEA" w:rsidRDefault="00EF2DEA">
      <w:pPr>
        <w:pStyle w:val="ConsPlusNormal"/>
        <w:jc w:val="right"/>
        <w:outlineLvl w:val="0"/>
      </w:pPr>
      <w:r>
        <w:lastRenderedPageBreak/>
        <w:t>Утверждены</w:t>
      </w:r>
    </w:p>
    <w:p w:rsidR="00EF2DEA" w:rsidRDefault="00EF2DEA">
      <w:pPr>
        <w:pStyle w:val="ConsPlusNormal"/>
        <w:jc w:val="right"/>
      </w:pPr>
      <w:r>
        <w:t>постановлением Правительства</w:t>
      </w:r>
    </w:p>
    <w:p w:rsidR="00EF2DEA" w:rsidRDefault="00EF2DEA">
      <w:pPr>
        <w:pStyle w:val="ConsPlusNormal"/>
        <w:jc w:val="right"/>
      </w:pPr>
      <w:r>
        <w:t>Российской Федерации</w:t>
      </w:r>
    </w:p>
    <w:p w:rsidR="00EF2DEA" w:rsidRDefault="00EF2DEA">
      <w:pPr>
        <w:pStyle w:val="ConsPlusNormal"/>
        <w:jc w:val="right"/>
      </w:pPr>
      <w:r>
        <w:t>от 19 сентября 2020 г. N 1503</w:t>
      </w:r>
    </w:p>
    <w:p w:rsidR="00EF2DEA" w:rsidRDefault="00EF2DEA">
      <w:pPr>
        <w:pStyle w:val="ConsPlusNormal"/>
        <w:jc w:val="center"/>
      </w:pPr>
    </w:p>
    <w:p w:rsidR="00EF2DEA" w:rsidRDefault="00EF2DEA">
      <w:pPr>
        <w:pStyle w:val="ConsPlusTitle"/>
        <w:jc w:val="center"/>
      </w:pPr>
      <w:bookmarkStart w:id="0" w:name="P29"/>
      <w:bookmarkEnd w:id="0"/>
      <w:r>
        <w:t>ТРЕБОВАНИЯ</w:t>
      </w:r>
    </w:p>
    <w:p w:rsidR="00EF2DEA" w:rsidRDefault="00EF2DEA">
      <w:pPr>
        <w:pStyle w:val="ConsPlusTitle"/>
        <w:jc w:val="center"/>
      </w:pPr>
      <w:r>
        <w:t>К ТЕХНИЧЕСКОМУ СОСТОЯНИЮ И ЭКСПЛУАТАЦИИ САМОХОДНЫХ МАШИН</w:t>
      </w:r>
    </w:p>
    <w:p w:rsidR="00EF2DEA" w:rsidRDefault="00EF2DEA">
      <w:pPr>
        <w:pStyle w:val="ConsPlusTitle"/>
        <w:jc w:val="center"/>
      </w:pPr>
      <w:r>
        <w:t>И ДРУГИХ ВИДОВ ТЕХНИКИ</w:t>
      </w:r>
    </w:p>
    <w:p w:rsidR="00EF2DEA" w:rsidRDefault="00EF2DEA">
      <w:pPr>
        <w:pStyle w:val="ConsPlusNormal"/>
        <w:jc w:val="center"/>
      </w:pPr>
    </w:p>
    <w:p w:rsidR="00EF2DEA" w:rsidRDefault="00EF2DEA">
      <w:pPr>
        <w:pStyle w:val="ConsPlusTitle"/>
        <w:jc w:val="center"/>
        <w:outlineLvl w:val="1"/>
      </w:pPr>
      <w:r>
        <w:t>I. Общие положения</w:t>
      </w:r>
    </w:p>
    <w:p w:rsidR="00EF2DEA" w:rsidRDefault="00EF2DEA">
      <w:pPr>
        <w:pStyle w:val="ConsPlusNormal"/>
        <w:jc w:val="center"/>
      </w:pPr>
    </w:p>
    <w:p w:rsidR="00EF2DEA" w:rsidRDefault="00EF2DEA">
      <w:pPr>
        <w:pStyle w:val="ConsPlusNormal"/>
        <w:ind w:firstLine="540"/>
        <w:jc w:val="both"/>
      </w:pPr>
      <w:r>
        <w:t xml:space="preserve">1. Настоящие требования устанавливают перечень требований к техническому состоянию и эксплуатации самоходных машин и других видов техники и применяются в отношении технического состояния и эксплуатации самоходных машин и других видов техники, изготовленных и допущенных к эксплуатации до вступления в силу технического </w:t>
      </w:r>
      <w:hyperlink r:id="rId8" w:history="1">
        <w:r>
          <w:rPr>
            <w:color w:val="0000FF"/>
          </w:rPr>
          <w:t>регламента</w:t>
        </w:r>
      </w:hyperlink>
      <w:r>
        <w:t xml:space="preserve"> Таможенного союза "О безопасности сельскохозяйственных и лесохозяйственных тракторов и прицепов к ним" (</w:t>
      </w:r>
      <w:proofErr w:type="gramStart"/>
      <w:r>
        <w:t>ТР</w:t>
      </w:r>
      <w:proofErr w:type="gramEnd"/>
      <w:r>
        <w:t xml:space="preserve"> ТС 031/2012), принятого решением Совета Евразийской экономической комиссии от 20 июля 2012 г. N 60.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В отношении машин и (или) оборудования, установленных на сельскохозяйственные и лесные тракторы и прицепы, применяются требования, установленные техническим </w:t>
      </w:r>
      <w:hyperlink r:id="rId9" w:history="1">
        <w:r>
          <w:rPr>
            <w:color w:val="0000FF"/>
          </w:rPr>
          <w:t>регламентом</w:t>
        </w:r>
      </w:hyperlink>
      <w:r>
        <w:t xml:space="preserve"> Таможенного союза "О безопасности машин и оборудования" (</w:t>
      </w:r>
      <w:proofErr w:type="gramStart"/>
      <w:r>
        <w:t>ТР</w:t>
      </w:r>
      <w:proofErr w:type="gramEnd"/>
      <w:r>
        <w:t xml:space="preserve"> ТС 010/2011), принятым решением Комиссии Таможенного союза от 18 октября 2011 г. N 823.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2. Понятия, используемые в настоящих требованиях, означают следующее: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"другие виды техники" - прицепы (полуприцепы) самоходных машин, на которые оформляются паспорта самоходной машины и других видов техники (электронные паспорта самоходной машины и других видов техники);</w:t>
      </w:r>
    </w:p>
    <w:p w:rsidR="00EF2DEA" w:rsidRDefault="00EF2DEA">
      <w:pPr>
        <w:pStyle w:val="ConsPlusNormal"/>
        <w:spacing w:before="220"/>
        <w:ind w:firstLine="540"/>
        <w:jc w:val="both"/>
      </w:pPr>
      <w:proofErr w:type="gramStart"/>
      <w:r>
        <w:t>"самоходные машины" - тракторы, самоходные дорожно-строительные машины, коммунальные, сельскохозяйственные машины, внедорожные автомототранспортные средства и другие наземные безрельсовые механические транспортные средства, имеющие двигатель внутреннего сгорания объемом свыше 50 куб. сантиметров или электродвигатель максимальной мощностью более 4 киловатт (за исключением наземных самоходных устройств категории "L", "M", "N" на колесном ходу с мощностью двигателя (двигателей) более 4 киловатт или с максимальной конструктивной скоростью более</w:t>
      </w:r>
      <w:proofErr w:type="gramEnd"/>
      <w:r>
        <w:t xml:space="preserve"> </w:t>
      </w:r>
      <w:proofErr w:type="gramStart"/>
      <w:r>
        <w:t>50 километров в час, предназначенных для перевозки людей, грузов или оборудования, установленного на них, а также прицепов (полуприцепов) к ним и транспортных средств, самоходных машин, военной, специальной и других видов техники Вооруженных Сил Российской Федерации, других войск, воинских формирований и органов, опытных (испытательных) образцов вооружения, военной и специальной техники, в том числе относящихся в соответствии с законодательством Российской Федерации о</w:t>
      </w:r>
      <w:proofErr w:type="gramEnd"/>
      <w:r>
        <w:t xml:space="preserve"> </w:t>
      </w:r>
      <w:proofErr w:type="gramStart"/>
      <w:r>
        <w:t>военно-техническом сотрудничестве с иностранными государствами к продукции военного назначения), на которые оформляются паспорта самоходной машины и других видов техники (электронные паспорта самоходной машины и других видов техники).</w:t>
      </w:r>
      <w:proofErr w:type="gramEnd"/>
    </w:p>
    <w:p w:rsidR="00EF2DEA" w:rsidRDefault="00EF2DEA">
      <w:pPr>
        <w:pStyle w:val="ConsPlusNormal"/>
        <w:jc w:val="center"/>
      </w:pPr>
    </w:p>
    <w:p w:rsidR="00EF2DEA" w:rsidRDefault="00EF2DEA">
      <w:pPr>
        <w:pStyle w:val="ConsPlusTitle"/>
        <w:jc w:val="center"/>
        <w:outlineLvl w:val="1"/>
      </w:pPr>
      <w:r>
        <w:t>II. Требования, предъявляемые к техническому состоянию</w:t>
      </w:r>
    </w:p>
    <w:p w:rsidR="00EF2DEA" w:rsidRDefault="00EF2DEA">
      <w:pPr>
        <w:pStyle w:val="ConsPlusTitle"/>
        <w:jc w:val="center"/>
      </w:pPr>
      <w:r>
        <w:t>самоходных машин и других видов техники</w:t>
      </w:r>
    </w:p>
    <w:p w:rsidR="00EF2DEA" w:rsidRDefault="00EF2DEA">
      <w:pPr>
        <w:pStyle w:val="ConsPlusNormal"/>
        <w:jc w:val="center"/>
      </w:pPr>
    </w:p>
    <w:p w:rsidR="00EF2DEA" w:rsidRDefault="00EF2DEA">
      <w:pPr>
        <w:pStyle w:val="ConsPlusNormal"/>
        <w:ind w:firstLine="540"/>
        <w:jc w:val="both"/>
      </w:pPr>
      <w:r>
        <w:t>3. Тормозные системы должны соответствовать показателям эффективности торможения и устойчивости транспортного средства при торможении: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а) для тракторов и машин самоходных сельскохозяйственных - согласно </w:t>
      </w:r>
      <w:hyperlink r:id="rId10" w:history="1">
        <w:r>
          <w:rPr>
            <w:color w:val="0000FF"/>
          </w:rPr>
          <w:t>пункту 3.17</w:t>
        </w:r>
      </w:hyperlink>
      <w:r>
        <w:t xml:space="preserve"> ГОСТ 12.2.019-2015 "Межгосударственный стандарт. Система стандартов безопасности труда. Тракторы и машины самоходные сельскохозяйственные. Общие требования безопасности" (далее - ГОСТ </w:t>
      </w:r>
      <w:r>
        <w:lastRenderedPageBreak/>
        <w:t>12.2.019-2015);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б) для прицепов и полуприцепов тракторных - согласно </w:t>
      </w:r>
      <w:hyperlink r:id="rId11" w:history="1">
        <w:r>
          <w:rPr>
            <w:color w:val="0000FF"/>
          </w:rPr>
          <w:t>пунктам 5.5</w:t>
        </w:r>
      </w:hyperlink>
      <w:r>
        <w:t xml:space="preserve"> - </w:t>
      </w:r>
      <w:hyperlink r:id="rId12" w:history="1">
        <w:r>
          <w:rPr>
            <w:color w:val="0000FF"/>
          </w:rPr>
          <w:t>5.8</w:t>
        </w:r>
      </w:hyperlink>
      <w:r>
        <w:t xml:space="preserve"> ГОСТ 10000-2017 "Межгосударственный стандарт. Прицепы и полуприцепы тракторные. Общие технические требования";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в) для самоходных дорожно-строительных машин - согласно </w:t>
      </w:r>
      <w:hyperlink r:id="rId13" w:history="1">
        <w:r>
          <w:rPr>
            <w:color w:val="0000FF"/>
          </w:rPr>
          <w:t>пунктам 4.1</w:t>
        </w:r>
      </w:hyperlink>
      <w:r>
        <w:t xml:space="preserve"> - </w:t>
      </w:r>
      <w:hyperlink r:id="rId14" w:history="1">
        <w:r>
          <w:rPr>
            <w:color w:val="0000FF"/>
          </w:rPr>
          <w:t>4.6</w:t>
        </w:r>
      </w:hyperlink>
      <w:r>
        <w:t xml:space="preserve"> ГОСТ </w:t>
      </w:r>
      <w:proofErr w:type="gramStart"/>
      <w:r>
        <w:t>Р</w:t>
      </w:r>
      <w:proofErr w:type="gramEnd"/>
      <w:r>
        <w:t xml:space="preserve"> ИСО 3450-99 "Государственный стандарт Российской Федерации. Машины землеройные. Тормозные системы колесных машин. Требования к эффективности и методы испытаний";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г) для снегоходов - согласно </w:t>
      </w:r>
      <w:hyperlink r:id="rId15" w:history="1">
        <w:r>
          <w:rPr>
            <w:color w:val="0000FF"/>
          </w:rPr>
          <w:t>пункту 4.1</w:t>
        </w:r>
      </w:hyperlink>
      <w:r>
        <w:t xml:space="preserve"> ГОСТ 34066-2017 "Межгосударственный стандарт. Снегоходы. Технические требования и методы испытаний" (далее - ГОСТ 34066-2017);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д) для снегоболотоходов - согласно </w:t>
      </w:r>
      <w:hyperlink r:id="rId16" w:history="1">
        <w:r>
          <w:rPr>
            <w:color w:val="0000FF"/>
          </w:rPr>
          <w:t>пункту 4.1</w:t>
        </w:r>
      </w:hyperlink>
      <w:r>
        <w:t xml:space="preserve"> ГОСТ 34065-2017 "Межгосударственный стандарт. Снегоболотоходы. Технические требования и методы испытаний" (далее - ГОСТ 34065-2017).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4. Рабочая тормозная система тракторных поездов с пневматическим тормозным приводом в режиме аварийного (автоматического) торможения должна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5. Утечка сжатого воздуха из соединений и элементов тормозной системы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6. Подтекание тормозной жидкости и (или) нарушение герметичности трубопроводов или соединений в гидравлическом тормозном приводе не допускаются.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7. Коррозия, грозящая потерей герметичности или разрушением,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8. Механическое повреждение тормозных трубопроводов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9. Наличие деталей с трещинами или остаточной деформацией в тормозном приводе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10. Средства сигнализации и контроля тормозных систем, манометры пневматического и пневмогидравлического тормозного привода и устройство фиксации органа управления стояночной тормозной системы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11. Набухание тормозных шлангов под давлением и (или) наличие трещин на них и видимых мест перетирания не допускаются.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12. Расположение и длина соединительных шлангов пневматического тормозного привода тракторных поездов должны исключать их повреждение при взаимном перемещении трактора и прицепа (полуприцепа).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13. Изменение усилия при повороте рулевого колеса должно быть плавным во всем диапазоне угла его поворота. Неработоспособность усилителя рулевого управления (при его наличии)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14. Самопроизвольный поворот рулевого колеса с усилителем рулевого управления от нейтрального положения при работающем двигателе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15. Суммарный люфт в рулевом управлении не должен превышать предельные значения, установленные изготовителем в эксплуатационной документации, или в случае отсутствия данных, установленных изготовителем, - следующие предельные значения: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для тракторов, включая </w:t>
      </w:r>
      <w:proofErr w:type="gramStart"/>
      <w:r>
        <w:t>малогабаритные</w:t>
      </w:r>
      <w:proofErr w:type="gramEnd"/>
      <w:r>
        <w:t>, и машин самоходных сельскохозяйственных - не более 25 градусов;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lastRenderedPageBreak/>
        <w:t>для снегоходов и снегоболотоходов - не более 15 градусов.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16. Повреждение и отсутствие деталей крепления рулевой колонки и картера рулевого механизма, а также повышение подвижности деталей рулевого привода относительно друг друга или кузова (рамы), не предусмотренное изготовителем (в эксплуатационной документации), не допускаются. Резьбовые соединения должны быть затянуты и зафиксированы способом, предусмотренным изготовителем. Люфт в соединениях рычагов поворотных цапф и шарнирах рулевых тяг не допускается. Устройство фиксации положения рулевой колонки с регулируемым положением рулевого колеса должно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17. Применение в рулевом механизме и рулевом приводе деталей со следами остаточной деформации, с трещинами и другими дефектами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18. Максимальный угол поворота рулевого колеса (руля) должен ограничиваться только устройствами, предусмотренными конструкцией самоходной машины.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19. Свободный ход рукояток рычагов управления муфтами поворота не должен отклоняться от значений, допускаемых изготовителем.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20. Должен обеспечиваться полный разрыв потока мощности в сторону поворота при полном перемещении рычага управления на себя.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21. Свободный ход тормозных педалей не должен превышать значения, установленные изготовителем.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22. Различная величина свободного хода тормозных педалей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23. Применение устройств освещения и световой сигнализации определяется: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а) для сельскохозяйственных и лесных тракторов - согласно </w:t>
      </w:r>
      <w:hyperlink r:id="rId17" w:history="1">
        <w:r>
          <w:rPr>
            <w:color w:val="0000FF"/>
          </w:rPr>
          <w:t>пунктам 5.1</w:t>
        </w:r>
      </w:hyperlink>
      <w:r>
        <w:t xml:space="preserve"> - </w:t>
      </w:r>
      <w:hyperlink r:id="rId18" w:history="1">
        <w:r>
          <w:rPr>
            <w:color w:val="0000FF"/>
          </w:rPr>
          <w:t>5.6</w:t>
        </w:r>
      </w:hyperlink>
      <w:r>
        <w:t xml:space="preserve"> ГОСТ 12.2.019-2015;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б) для снегоходов - согласно </w:t>
      </w:r>
      <w:hyperlink r:id="rId19" w:history="1">
        <w:r>
          <w:rPr>
            <w:color w:val="0000FF"/>
          </w:rPr>
          <w:t>пунктам 4.5.1</w:t>
        </w:r>
      </w:hyperlink>
      <w:r>
        <w:t xml:space="preserve"> - </w:t>
      </w:r>
      <w:hyperlink r:id="rId20" w:history="1">
        <w:r>
          <w:rPr>
            <w:color w:val="0000FF"/>
          </w:rPr>
          <w:t>4.5.5</w:t>
        </w:r>
      </w:hyperlink>
      <w:r>
        <w:t xml:space="preserve"> ГОСТ 34066-2017;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в) для снегоболотоходов - согласно </w:t>
      </w:r>
      <w:hyperlink r:id="rId21" w:history="1">
        <w:r>
          <w:rPr>
            <w:color w:val="0000FF"/>
          </w:rPr>
          <w:t>пунктам 4.5.1</w:t>
        </w:r>
      </w:hyperlink>
      <w:r>
        <w:t xml:space="preserve"> - </w:t>
      </w:r>
      <w:hyperlink r:id="rId22" w:history="1">
        <w:r>
          <w:rPr>
            <w:color w:val="0000FF"/>
          </w:rPr>
          <w:t>4.5.5</w:t>
        </w:r>
      </w:hyperlink>
      <w:r>
        <w:t xml:space="preserve"> ГОСТ 34065-2017.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24. Разрушение и отсутствие рассеивателей световых приборов или использование рассеивателей и ламп, не соответствующих типу данного светового прибора, не допускаются.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25. Сигналы торможения (основные и дополнительные) должны включаться при воздействии на органы управления рабочей и аварийной тормозных систем и работать в постоянном режиме.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26. Установка спереди самоходной машины световых приборов с огнями красного цвета или световозвращателей красного цвета, а сзади - белого цвета, кроме фонарей заднего хода и освещения регистрационного знака,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Запрещается использовать в фонарях заднего хода и освещения государственного регистрационного знака огни любого цвета, кроме белого.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27. На самоходных машинах, выполняющих работы по строительству, ремонту или содержанию дорог, а также на самоходных машинах, передвигающихся по дорогам общего пользования со скоростью 20 километров в час и более и имеющих ширину более 2,55 метра, должны устанавливаться специальные световые сигналы (проблесковые маячки) желтого или оранжевого цвета. Количество и расположение проблесковых маячков должны обеспечивать их видимость на 360 градусов в горизонтальной плоскости, проходящей через центр источника излучения света.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lastRenderedPageBreak/>
        <w:t>28. Самоходные машины, имеющие кабину, должны оснащаться не менее чем одним стеклоочистителем.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29. Применение стеклоочистителей и стеклоомывателей для сельскохозяйственных и лесных тракторов, самоходных сельскохозяйственных машин должно соответствовать </w:t>
      </w:r>
      <w:hyperlink r:id="rId23" w:history="1">
        <w:r>
          <w:rPr>
            <w:color w:val="0000FF"/>
          </w:rPr>
          <w:t>пунктам 4.1</w:t>
        </w:r>
      </w:hyperlink>
      <w:r>
        <w:t xml:space="preserve"> и </w:t>
      </w:r>
      <w:hyperlink r:id="rId24" w:history="1">
        <w:r>
          <w:rPr>
            <w:color w:val="0000FF"/>
          </w:rPr>
          <w:t>4.2</w:t>
        </w:r>
      </w:hyperlink>
      <w:r>
        <w:t xml:space="preserve"> ГОСТ 12.2.120-2015 "Межгосударственный стандарт. Система стандартов безопасности труда. Кабины и рабочие места операторов тракторов и самоходных сельскохозяйственных машин. Общие требования безопасности".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30. Стеклоомыватель должен обеспечивать подачу жидкости в зону очистки стекла.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31. Шины колес должны иметь остаточную высоту почвозацепов (рисунка протектора):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а) ведущих колес: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не менее 5 миллиметров - для тракторов тягового класса до 2 тонн включительно;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не менее 10 миллиметров - для тракторов тягового класса 3 тонны и выше;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б) управляемых колес: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не менее 2 миллиметров - для тракторов тягового класса до 2 тонн включительно;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не менее 10 миллиметров - для тракторов тягового класса 3 тонны и выше;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в) колес прицепов - не менее 1 миллиметра.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32. Шины не должны иметь внешние повреждения (пробоины, порезы, разрывы), обнажающие корд, расслоение каркаса, отслоение протектора и боковины.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33. Отсутствие хотя бы одного болта или гайки крепления дисков и ободьев колес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34. Наличие трещин на дисках и ободьях колес, а также следов устранения их сваркой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35. Видимое нарушение формы и (или) размеров крепежных отверстий в дисках колес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36. Шины по размеру или допустимой нагрузке должны соответствовать модели самоходной машины.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37. Установка на одной оси шин различных размеров, конструкций, моделей и с разными рисунками протектора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38. Давление в шинах не должно превышать значение, указанное в маркировке шин. Разность давлений в левых и правых шинах должна быть не более 0,01 мегапаскалей (0,1 килограмм-силы на квадратный сантиметр).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39. Провисание гусеничных цепей самоходных машин на гусеничном ходу не должно превышать значение, предусмотренное изготовителем, а если такое значение отсутствует, - не должно превышать 65 миллиметров.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40. Остаточная высота почвозацепов самоходных машин на гусеничном ходу должна быть не менее 7 миллиметров.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>Число звеньев в левой и правой гусеничных цепях должно быть одинаковым.</w:t>
      </w:r>
      <w:proofErr w:type="gramEnd"/>
    </w:p>
    <w:p w:rsidR="00EF2DEA" w:rsidRDefault="00EF2DEA">
      <w:pPr>
        <w:pStyle w:val="ConsPlusNormal"/>
        <w:spacing w:before="220"/>
        <w:ind w:firstLine="540"/>
        <w:jc w:val="both"/>
      </w:pPr>
      <w:r>
        <w:lastRenderedPageBreak/>
        <w:t>42. Наличие трещин и изломов в звеньях гусеничной цепи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43. Разность провисаний левой и правой гусеничных цепей не должна превышать значение, предусмотренное изготовителем, а если такое значение отсутствует, - не должна превышать 5 миллиметров.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44. Содержание загрязняющих веществ в отработавших газах самоходных машин с бензиновыми двигателями должно соответствовать требованиям, предусмотренным изготовителем.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45. Содержание окиси углерода в отработавших газах при минимальной устойчивой частоте вращения коленчатого вала двигателя снегоходов, четырехколесных внедорожных мототранспортных средств и снегоболотоходов не должно превышать 4,5 процента (в объемных долях).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46. Подтекание и каплепадение топлива в системе питания бензиновых и дизельных двигателей не допускаются.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47. Запорные устройства топливных баков и устройства перекрытия топлива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48. Система питания самоходных машин, предназначенная для работы на компримированном природном газе, сжиженном природном газе и сжиженном углеводородном газе, должна быть герметична. На наружную поверхность газовых баллонов самоходных машин, оснащенных такой системой питания, должны наноситься их паспортные данные, в том числе дата действующего и последующего освидетельствования. Использование газовых баллонов с истекшим сроком их периодического освидетельствования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49. Выпускные системы двигателей должны быть исправными и комплектными.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50. Тракторы, самоходные дорожно-строительные, коммунальные, сельскохозяйственные машины, а также внедорожные автотранспортные средства должны укомплектовываться не менее чем одним (слева) зеркалом заднего вида.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В случае оснащения снегохода зеркалами заднего вида их конструкция и установка должны отвечать требованиям, установленным </w:t>
      </w:r>
      <w:hyperlink r:id="rId25" w:history="1">
        <w:r>
          <w:rPr>
            <w:color w:val="0000FF"/>
          </w:rPr>
          <w:t>пунктом 4.10.11</w:t>
        </w:r>
      </w:hyperlink>
      <w:r>
        <w:t xml:space="preserve"> ГОСТ 34066-2017.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Снегоболотоходы должны быть оборудованы устройствами непрямого обзора (2 боковых зеркала и одно центральное зеркало заднего вида или заменяющие их устройства). Их конструкция и установка должны отвечать требованиям, установленным </w:t>
      </w:r>
      <w:hyperlink r:id="rId26" w:history="1">
        <w:r>
          <w:rPr>
            <w:color w:val="0000FF"/>
          </w:rPr>
          <w:t>пунктом 4.11.5</w:t>
        </w:r>
      </w:hyperlink>
      <w:r>
        <w:t xml:space="preserve"> ГОСТ 34065-2017.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51. Наличие трещин на ветровых стеклах в зоне очистки стеклоочистителем половины стекла, расположенной со стороны водителя,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52. Замки дверей кабины, механизмы регулировки и фиксирующие устройства сидений водителя, устройство обогрева и обдува ветрового стекла, предусмотренные конструкцией,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53. Запоры бортов грузовой платформы прицепов и полуприцепов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54. Аварийные выходы и устройства приведения их в действие, приборы внутреннего освещения кабины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55. Предусмотренные конструкцией самоходных машин звуковые сигналы должны быть </w:t>
      </w:r>
      <w:r>
        <w:lastRenderedPageBreak/>
        <w:t>исправными.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Звуковой сигнал при приведении в действие органа его управления должен издавать непрерывный и монотонный звук.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Уровень звука сигнала должен быть в пределах 90 - 112 децибел при заглушенном двигателе.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56. На прицепах и полуприцепах должны устанавливаться задние защитные устройства, предусмотренные конструкцией.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57. Тракторные прицепы и полуприцепы должны оборудоваться работоспособными предохранительными приспособлениями (цепями, тросами). Длина предохранительных цепей (тросов) должна предотвращать контакт сцепной петли дышла с дорожной поверхностью и при этом обеспечивать управление прицепом в случае обрыва (поломки) тягово-сцепного устройства.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58. Прицепы (за исключением одноосных и роспусков) должны оборудоваться устройством, поддерживающим сцепную петлю дышла в положении, облегчающем сцепку и расцепку с тяговой машиной.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59. Деформация сцепной петли или дышла прицепа, нарушающая их положение относительно продольной центральной плоскости симметрии прицепа, разрывы, трещины и другие видимые повреждения сцепной петли или дышла прицепа не допускаются.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60. Самоходные машины должны оснащаться ремнями безопасности, предусмотренными конструкцией. Ремни безопасности не должны иметь следующие дефекты: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а) надрыв на лямке, видимый невооруженным глазом;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б) замок не фиксирует "язык" лямки или не выбрасывает его после нажатия на кнопку замыкающего устройства;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в) лямка не вытягивается или не втягивается во втягивающее устройство (катушку);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г) при резком вытягивании лямки ремня не обеспечивается прекращение (блокирование) ее вытягивания из втягивающего устройства (катушки).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61. Тракторы, самоходные дорожно-строительные, самоходные сельскохозяйственные машины (за исключением </w:t>
      </w:r>
      <w:proofErr w:type="gramStart"/>
      <w:r>
        <w:t>гусеничных</w:t>
      </w:r>
      <w:proofErr w:type="gramEnd"/>
      <w:r>
        <w:t>), прицепы и полуприцепы должны укомплектовываться не менее чем 2 противооткатными упорами.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62. Самоходные машины должны оснащаться: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не менее чем 1 порошковым или хладоновым огнетушителем емкостью не менее 2 литров (при оснащении тракторов, самоходных дорожно-строительных, коммунальных, а также внедорожных автотранспортных средств);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не менее чем 2 порошковыми или хладоновыми огнетушителями емкостью не менее 2 литров (при оснащении самоходных сельскохозяйственных комбайнов).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Огнетушитель должен быть опломбирован и на нем должен быть указан срок окончания использования, который на момент проверки не должен быть завершен.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63. Аккумуляторные батареи, сиденья, а также огнетушители и медицинская аптечка на тракторах, самоходных дорожно-строительных машинах, оборудованных приспособлениями для их крепления, должны надежно закрепляться в местах, предусмотренных конструкцией.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lastRenderedPageBreak/>
        <w:t>64. Колесные тракторы должны оборудоваться надколесными крыльями. Ширина этих устройств должна быть не менее ширины применяемых шин.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65. Отсутствие предусмотренных конструкцией самоходных машин грязезащитных фартуков и брызговиков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66. Фиксаторы транспортного положения опор полуприцепов, предназначенные для предотвращения их самопроизвольного опускания при движении,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67. Подтекание масел и рабочих жидкостей из двигателя, коробки передач, бортовых редукторов, мостов, сцепления, аккумуляторной батареи, систем охлаждения и кондиционирования воздуха и дополнительно устанавливаемых гидравлических устройств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68. Предусмотренное конструкцией самоходной машины устройство, исключающее возможность запуска двигателя при включенной передаче, должно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69. </w:t>
      </w:r>
      <w:proofErr w:type="gramStart"/>
      <w:r>
        <w:t>Движущиеся (вращающиеся) части самоходных машин (карданные, цепные, ременные, зубчатые передачи и т.п.) должны быть огорожены защитными кожухами.</w:t>
      </w:r>
      <w:proofErr w:type="gramEnd"/>
    </w:p>
    <w:p w:rsidR="00EF2DEA" w:rsidRDefault="00EF2DEA">
      <w:pPr>
        <w:pStyle w:val="ConsPlusNormal"/>
        <w:spacing w:before="220"/>
        <w:ind w:firstLine="540"/>
        <w:jc w:val="both"/>
      </w:pPr>
      <w:r>
        <w:t>70. Ослабление крепления кабины, двигателя, компрессора, пускового двигателя, облицовки, рабочих органов, других элементов конструкции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71. Рычаги управления рабочими органами самоходных машин и орудия в заданных положениях должны обеспечиваться надежной фиксацией.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72. Светопропускание стекол, обеспечивающих видимость для водителя спереди, должно быть не менее 70 процентов для ветровых стекол и для стекол, не являющихся ветровыми, но обеспечивающих обзор водителя спереди и сзади.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При условии установки на самоходную машину 2 внешних зеркал заднего вида светопропускание стекол, обеспечивающих обзор водителя сзади, не нормируется.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 xml:space="preserve">73. Замена аккумуляторных батарей, применяемых для запуска двигателя самоходной машины, а также аккумуляторных батарей самоходных машин с электроприводом батареи, напряжение, масса или размеры которых отличаются </w:t>
      </w:r>
      <w:proofErr w:type="gramStart"/>
      <w:r>
        <w:t>от</w:t>
      </w:r>
      <w:proofErr w:type="gramEnd"/>
      <w:r>
        <w:t xml:space="preserve"> предусмотренных изготовителем, не допускается.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74. Предусмотренные конструкцией устройства, предотвращающие самопроизвольный запуск рабочих органов самоходных машин,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75. Предохранительные муфты привода рабочих органов самоходных машин должны быть исправны и отрегулированы.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76. Предусмотренные конструкцией устройства для экстренного отключения рабочих органов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77. Предусмотренные конструкцией устройства для снятия статического электрического заряда должны быть в работоспособном состоянии.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78. Дисбаланс вращающихся частей самоходных машин, превышающий установленные изготовителем значения, не допускается.</w:t>
      </w:r>
    </w:p>
    <w:p w:rsidR="00EF2DEA" w:rsidRDefault="00EF2DEA">
      <w:pPr>
        <w:pStyle w:val="ConsPlusNormal"/>
        <w:ind w:firstLine="540"/>
        <w:jc w:val="both"/>
      </w:pPr>
    </w:p>
    <w:p w:rsidR="00EF2DEA" w:rsidRDefault="00EF2DEA">
      <w:pPr>
        <w:pStyle w:val="ConsPlusTitle"/>
        <w:jc w:val="center"/>
        <w:outlineLvl w:val="1"/>
      </w:pPr>
      <w:r>
        <w:t xml:space="preserve">III. Требования, предъявляемые к эксплуатации </w:t>
      </w:r>
      <w:proofErr w:type="gramStart"/>
      <w:r>
        <w:t>самоходных</w:t>
      </w:r>
      <w:proofErr w:type="gramEnd"/>
    </w:p>
    <w:p w:rsidR="00EF2DEA" w:rsidRDefault="00EF2DEA">
      <w:pPr>
        <w:pStyle w:val="ConsPlusTitle"/>
        <w:jc w:val="center"/>
      </w:pPr>
      <w:r>
        <w:lastRenderedPageBreak/>
        <w:t>машин и других видов техники</w:t>
      </w:r>
    </w:p>
    <w:p w:rsidR="00EF2DEA" w:rsidRDefault="00EF2DEA">
      <w:pPr>
        <w:pStyle w:val="ConsPlusNormal"/>
        <w:jc w:val="center"/>
      </w:pPr>
    </w:p>
    <w:p w:rsidR="00EF2DEA" w:rsidRDefault="00EF2DEA">
      <w:pPr>
        <w:pStyle w:val="ConsPlusNormal"/>
        <w:ind w:firstLine="540"/>
        <w:jc w:val="both"/>
      </w:pPr>
      <w:r>
        <w:t>79. Самоходные машины, предназначенные для приема практического экзамена на право управления самоходными машинами и используемые в процессе обучения, должны быть оборудованы опознавательным знаком "Учебное транспортное средство".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80. Самоходные машины должны оборудоваться знаком аварийной остановки.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81. На самоходных машинах сзади должен устанавливаться государственный регистрационный знак.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Государственный регистрационный знак должен устанавливаться на плоской вертикальной поверхности, при этом должно исключаться загораживание государственного регистрационного знака элементами конструкции, а государственный регистрационный знак не должен закрывать внешние световые и светосигнальные приборы и выступать за боковой габарит самоходной машины.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Государственный регистрационный знак должен устанавливаться по оси симметрии самоходной машины или слева от нее по направлению движения самоходной машины.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Государственный регистрационный знак должен устанавливаться таким образом, чтобы в темное время суток обеспечивалось их прочтение с расстояния не менее 20 метров при освещении фонарем освещения государственного регистрационного знака самоходной машины, предусмотренным конструкцией самоходной машины.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82. На колесных тракторах тягового класса 1,4 тонны и выше, работающих с прицепами, должен устанавливаться опознавательный знак "Автопоезд".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83. На прицепах и полуприцепах сзади слева должен быть опознавательный знак "Ограничение максимальной скорости".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84. На самоходных машинах, прицепах и полуприцепах, имеющих максимальную конструктивную скорость не более 30 километров в час, должен устанавливаться опознавательный знак "Тихоходное транспортное средство".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85. На самоходных машинах должны быть установлены следующие опознавательные знаки: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"Автопоезд" - в виде 3 фонарей оранжевого цвета, расположенных горизонтально на крыше кабины с промежутками между ними от 150 до 300 миллиметров, - на колесных тракторах (тягового класса 1,4 тонны и выше) с прицепами;</w:t>
      </w:r>
    </w:p>
    <w:p w:rsidR="00EF2DEA" w:rsidRDefault="00EF2DEA">
      <w:pPr>
        <w:pStyle w:val="ConsPlusNormal"/>
        <w:spacing w:before="220"/>
        <w:ind w:firstLine="540"/>
        <w:jc w:val="both"/>
      </w:pPr>
      <w:proofErr w:type="gramStart"/>
      <w:r>
        <w:t>"Учебное транспортное средство" - в виде равностороннего треугольника белого цвета вершиной вверх с каймой красного цвета, в который вписана буква "У" черного цвета (сторона не менее 200 миллиметров, ширина каймы - 1/10 стороны), - спереди или сзади самоходных машин, предназначенных для приема практического экзамена на право управления самоходными машинами и используемых в процессе обучения (допускается установка двустороннего знака на крыше самоходной машины</w:t>
      </w:r>
      <w:proofErr w:type="gramEnd"/>
      <w:r>
        <w:t>);</w:t>
      </w:r>
    </w:p>
    <w:p w:rsidR="00EF2DEA" w:rsidRDefault="00EF2DEA">
      <w:pPr>
        <w:pStyle w:val="ConsPlusNormal"/>
        <w:spacing w:before="220"/>
        <w:ind w:firstLine="540"/>
        <w:jc w:val="both"/>
      </w:pPr>
      <w:proofErr w:type="gramStart"/>
      <w:r>
        <w:t>"Тихоходное транспортное средство" - в виде равностороннего треугольника с флюоресцирующим покрытием красного цвета и со световозвращающей каймой желтого или красного цвета (длина стороны треугольника от 350 до 365 миллиметров, ширина каймы от 45 до 48 миллиметров) - сзади самоходных машин, на прицепах и полуприцепах, имеющих максимальную конструктивную скорость не более 30 километров в час.</w:t>
      </w:r>
      <w:proofErr w:type="gramEnd"/>
    </w:p>
    <w:p w:rsidR="00EF2DEA" w:rsidRDefault="00EF2DEA">
      <w:pPr>
        <w:pStyle w:val="ConsPlusNormal"/>
        <w:spacing w:before="220"/>
        <w:ind w:firstLine="540"/>
        <w:jc w:val="both"/>
      </w:pPr>
      <w:r>
        <w:t>86. В каждом хозяйствующем субъекте должно быть назначено ответственное за техническое состояние и безопасную эксплуатацию самоходных машин должностное лицо.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lastRenderedPageBreak/>
        <w:t>87. В целях соблюдения настоящих требований юридические лица и индивидуальные предприниматели разрабатывают инструкции по соблюдению настоящих требований и требований технической документации.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88. Не допускается эксплуатация: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самоходных машин, если их техническое состояние и оборудование не отвечают требованиям, предъявляемым к техническому состоянию самоходных машин и прицепов к ним;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самоходных машин, не зарегистрированных в установленном порядке;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самоходных машин, не прошедших в установленном порядке технический осмотр;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самоходных машин лицами, не имеющими при себе документа, подтверждающего наличие у них права на управление самоходными машинами;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самоходных машин водителями, не имеющими при себе регистрационного документа на самоходную машину;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самоходных машин, владельцы которых не застраховали свою гражданскую ответственность в соответствии с законодательством Российской Федерации.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89. Радиаторы двигателей, валы битеров, соломонабивателей, транспортеров и подборщиков, шнеки и другие узлы и детали самоходных сельскохозяйственных машин должны своевременно очищаться от пыли, соломы, зерна и намоток технологического продукта.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90. Во время работы в поле или движения по дорогам самоходных сельскохозяйственных комбайнов запрещается нахождение помощника комбайнера или иных работников на комбайне.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91. Перед началом движения самоходных сельскохозяйственных машин тракторист-машинист должен убедиться в отсутствии деталей и других посторонних предметов на транспортере, в режущем аппарате и других узлах инструмента, а также людей рядом с машиной и в зоне ее движения.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92. Очистка, регулировка и устранение неисправностей самоходных машин должны производиться при остановленных рабочих органах и выключенном двигателе самоходной машины.</w:t>
      </w:r>
    </w:p>
    <w:p w:rsidR="00EF2DEA" w:rsidRDefault="00EF2DEA">
      <w:pPr>
        <w:pStyle w:val="ConsPlusNormal"/>
        <w:spacing w:before="220"/>
        <w:ind w:firstLine="540"/>
        <w:jc w:val="both"/>
      </w:pPr>
      <w:r>
        <w:t>93. Для трамбовки силосной (сенажной) массы на курганах и буртах должны использоваться гусеничные тракторы общего назначения не ниже 3 класса тяги или колесные сельскохозяйственные тракторы не ниже 4 класса тяги, оснащенные устройством защиты при опрокидывании.</w:t>
      </w:r>
    </w:p>
    <w:p w:rsidR="00EF2DEA" w:rsidRDefault="00EF2DEA">
      <w:pPr>
        <w:pStyle w:val="ConsPlusNormal"/>
        <w:jc w:val="both"/>
      </w:pPr>
    </w:p>
    <w:p w:rsidR="00EF2DEA" w:rsidRDefault="00EF2DEA">
      <w:pPr>
        <w:pStyle w:val="ConsPlusNormal"/>
        <w:jc w:val="both"/>
      </w:pPr>
    </w:p>
    <w:p w:rsidR="00EF2DEA" w:rsidRDefault="00EF2D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79C0" w:rsidRDefault="00EF2DEA">
      <w:bookmarkStart w:id="1" w:name="_GoBack"/>
      <w:bookmarkEnd w:id="1"/>
    </w:p>
    <w:sectPr w:rsidR="005C79C0" w:rsidSect="00282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DEA"/>
    <w:rsid w:val="00221683"/>
    <w:rsid w:val="009631B3"/>
    <w:rsid w:val="00EF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2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2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2D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2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2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2D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053A3B68DBC5C31B99F6E8ECFE1DF9A353DAD4F2C298C1539B9336848C9C00915AD102572CC6E6452DE1F32F68A10694F56DB51F177FECj0U7K" TargetMode="External"/><Relationship Id="rId13" Type="http://schemas.openxmlformats.org/officeDocument/2006/relationships/hyperlink" Target="consultantplus://offline/ref=7A053A3B68DBC5C31B99F5FDF5FE1DF9A253D7D3FA97CFC302CE9D338CDCD410DF1FDC03572AC6EC1077F1F7663FAB1A92EB72B70117j7UFK" TargetMode="External"/><Relationship Id="rId18" Type="http://schemas.openxmlformats.org/officeDocument/2006/relationships/hyperlink" Target="consultantplus://offline/ref=7A053A3B68DBC5C31B99F5FDF5FE1DF9A656D0D1FA97CFC302CE9D338CDCD410DF1FDC03552AC6EC1077F1F7663FAB1A92EB72B70117j7UFK" TargetMode="External"/><Relationship Id="rId26" Type="http://schemas.openxmlformats.org/officeDocument/2006/relationships/hyperlink" Target="consultantplus://offline/ref=7A053A3B68DBC5C31B99F5FDF5FE1DF9A054DBD7F9CAC5CB5BC29F348383C3179613DD03572EC3E34F72E4E63E30AE038DEA6CAB03157DjEUE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A053A3B68DBC5C31B99F5FDF5FE1DF9A054DBD7F9CAC5CB5BC29F348383C3179613DD03572DC3E24F72E4E63E30AE038DEA6CAB03157DjEUEK" TargetMode="External"/><Relationship Id="rId7" Type="http://schemas.openxmlformats.org/officeDocument/2006/relationships/hyperlink" Target="consultantplus://offline/ref=7A053A3B68DBC5C31B99F6E8ECFE1DF9A256D2D5F6C298C1539B9336848C9C00915AD1025C7897A3112BB7A5753CAC1A91EB6EjBU5K" TargetMode="External"/><Relationship Id="rId12" Type="http://schemas.openxmlformats.org/officeDocument/2006/relationships/hyperlink" Target="consultantplus://offline/ref=7A053A3B68DBC5C31B99F5FDF5FE1DF9A351D7D6F9CAC5CB5BC29F348383C3179613DD03572DC1E34F72E4E63E30AE038DEA6CAB03157DjEUEK" TargetMode="External"/><Relationship Id="rId17" Type="http://schemas.openxmlformats.org/officeDocument/2006/relationships/hyperlink" Target="consultantplus://offline/ref=7A053A3B68DBC5C31B99F5FDF5FE1DF9A656D0D1FA97CFC302CE9D338CDCD410DF1FDC03552FC7EC1077F1F7663FAB1A92EB72B70117j7UFK" TargetMode="External"/><Relationship Id="rId25" Type="http://schemas.openxmlformats.org/officeDocument/2006/relationships/hyperlink" Target="consultantplus://offline/ref=7A053A3B68DBC5C31B99F5FDF5FE1DF9A05BD3D6F7CAC5CB5BC29F348383C3179613DD03572EC2E74F72E4E63E30AE038DEA6CAB03157DjEUE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A053A3B68DBC5C31B99F5FDF5FE1DF9A054DBD7F9CAC5CB5BC29F348383C3179613DD03572DC6E14F72E4E63E30AE038DEA6CAB03157DjEUEK" TargetMode="External"/><Relationship Id="rId20" Type="http://schemas.openxmlformats.org/officeDocument/2006/relationships/hyperlink" Target="consultantplus://offline/ref=7A053A3B68DBC5C31B99F5FDF5FE1DF9A05BD3D6F7CAC5CB5BC29F348383C3179613DD03572DCFE24F72E4E63E30AE038DEA6CAB03157DjEUE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A053A3B68DBC5C31B99F6E8ECFE1DF9A256D4D1F0C798C1539B9336848C9C00915AD1065325CDB31562E0AF693AB20593F56EB503j1U5K" TargetMode="External"/><Relationship Id="rId11" Type="http://schemas.openxmlformats.org/officeDocument/2006/relationships/hyperlink" Target="consultantplus://offline/ref=7A053A3B68DBC5C31B99F5FDF5FE1DF9A351D7D6F9CAC5CB5BC29F348383C3179613DD03572DC3E14F72E4E63E30AE038DEA6CAB03157DjEUEK" TargetMode="External"/><Relationship Id="rId24" Type="http://schemas.openxmlformats.org/officeDocument/2006/relationships/hyperlink" Target="consultantplus://offline/ref=7A053A3B68DBC5C31B99F5FDF5FE1DF9A050D4D9F5CAC5CB5BC29F348383C3179613DD03572DC4E14F72E4E63E30AE038DEA6CAB03157DjEUE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A053A3B68DBC5C31B99F5FDF5FE1DF9A05BD3D6F7CAC5CB5BC29F348383C3179613DD03572CC1E04F72E4E63E30AE038DEA6CAB03157DjEUEK" TargetMode="External"/><Relationship Id="rId23" Type="http://schemas.openxmlformats.org/officeDocument/2006/relationships/hyperlink" Target="consultantplus://offline/ref=7A053A3B68DBC5C31B99F5FDF5FE1DF9A050D4D9F5CAC5CB5BC29F348383C3179613DD03572DC4E54F72E4E63E30AE038DEA6CAB03157DjEUE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A053A3B68DBC5C31B99F5FDF5FE1DF9A656D0D1FA97CFC302CE9D338CDCD410DF1FDC035725CFEC1077F1F7663FAB1A92EB72B70117j7UFK" TargetMode="External"/><Relationship Id="rId19" Type="http://schemas.openxmlformats.org/officeDocument/2006/relationships/hyperlink" Target="consultantplus://offline/ref=7A053A3B68DBC5C31B99F5FDF5FE1DF9A05BD3D6F7CAC5CB5BC29F348383C3179613DD03572DC4E14F72E4E63E30AE038DEA6CAB03157DjEU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053A3B68DBC5C31B99F6E8ECFE1DF9A05ADBD9F2C198C1539B9336848C9C00915AD102572DC1E7452DE1F32F68A10694F56DB51F177FECj0U7K" TargetMode="External"/><Relationship Id="rId14" Type="http://schemas.openxmlformats.org/officeDocument/2006/relationships/hyperlink" Target="consultantplus://offline/ref=7A053A3B68DBC5C31B99F5FDF5FE1DF9A253D7D3FA97CFC302CE9D338CDCD410DF1FDC035724C2EC1077F1F7663FAB1A92EB72B70117j7UFK" TargetMode="External"/><Relationship Id="rId22" Type="http://schemas.openxmlformats.org/officeDocument/2006/relationships/hyperlink" Target="consultantplus://offline/ref=7A053A3B68DBC5C31B99F5FDF5FE1DF9A054DBD7F9CAC5CB5BC29F348383C3179613DD03572DCFEE4F72E4E63E30AE038DEA6CAB03157DjEUE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4458</Words>
  <Characters>25413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</dc:creator>
  <cp:lastModifiedBy>Плотников</cp:lastModifiedBy>
  <cp:revision>1</cp:revision>
  <dcterms:created xsi:type="dcterms:W3CDTF">2020-10-27T10:20:00Z</dcterms:created>
  <dcterms:modified xsi:type="dcterms:W3CDTF">2020-10-27T10:20:00Z</dcterms:modified>
</cp:coreProperties>
</file>